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5387"/>
        <w:gridCol w:w="5103"/>
      </w:tblGrid>
      <w:tr w:rsidR="009C41E8" w:rsidRPr="00397B2C" w:rsidTr="00671A90">
        <w:tc>
          <w:tcPr>
            <w:tcW w:w="10490" w:type="dxa"/>
            <w:gridSpan w:val="2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jc w:val="center"/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</w:pPr>
            <w:bookmarkStart w:id="0" w:name="_GoBack"/>
            <w:bookmarkEnd w:id="0"/>
            <w:r w:rsidRPr="00397B2C"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  <w:t>SG Audit</w:t>
            </w:r>
          </w:p>
        </w:tc>
      </w:tr>
      <w:tr w:rsidR="009C41E8" w:rsidRPr="00397B2C" w:rsidTr="00671A90">
        <w:trPr>
          <w:trHeight w:val="756"/>
        </w:trPr>
        <w:tc>
          <w:tcPr>
            <w:tcW w:w="5387" w:type="dxa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ind w:left="1026"/>
              <w:jc w:val="left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Newsletter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:rsidR="009C41E8" w:rsidRPr="00397B2C" w:rsidRDefault="009C41E8" w:rsidP="009C41E8">
            <w:pPr>
              <w:pStyle w:val="Corpsdetexte"/>
              <w:ind w:left="1309"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N° I/201</w:t>
            </w:r>
            <w:r w:rsidR="009770C7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CE326E" w:rsidRPr="0079133A" w:rsidRDefault="00CE326E">
      <w:pPr>
        <w:pStyle w:val="MessageHeaderFirst"/>
        <w:rPr>
          <w:rStyle w:val="MessageHeaderLabel"/>
          <w:rFonts w:ascii="Book Antiqua" w:hAnsi="Book Antiqua"/>
          <w:sz w:val="28"/>
          <w:szCs w:val="28"/>
          <w:lang w:val="fr-CH"/>
        </w:rPr>
      </w:pPr>
    </w:p>
    <w:p w:rsidR="00E217D6" w:rsidRDefault="000E777B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79133A">
        <w:rPr>
          <w:rFonts w:ascii="Book Antiqua" w:hAnsi="Book Antiqua"/>
          <w:b/>
          <w:sz w:val="28"/>
          <w:szCs w:val="28"/>
          <w:lang w:val="en-US"/>
        </w:rPr>
        <w:t xml:space="preserve">IP – COPYRIGHTS </w:t>
      </w:r>
      <w:r w:rsidR="00E217D6">
        <w:rPr>
          <w:rFonts w:ascii="Book Antiqua" w:hAnsi="Book Antiqua"/>
          <w:b/>
          <w:sz w:val="28"/>
          <w:szCs w:val="28"/>
          <w:lang w:val="en-US"/>
        </w:rPr>
        <w:t>–</w:t>
      </w:r>
      <w:r w:rsidRPr="0079133A">
        <w:rPr>
          <w:rFonts w:ascii="Book Antiqua" w:hAnsi="Book Antiqua"/>
          <w:b/>
          <w:sz w:val="28"/>
          <w:szCs w:val="28"/>
          <w:lang w:val="en-US"/>
        </w:rPr>
        <w:t xml:space="preserve"> ROYALTIE</w:t>
      </w:r>
      <w:r w:rsidR="00E217D6">
        <w:rPr>
          <w:rFonts w:ascii="Book Antiqua" w:hAnsi="Book Antiqua"/>
          <w:b/>
          <w:sz w:val="28"/>
          <w:szCs w:val="28"/>
          <w:lang w:val="en-US"/>
        </w:rPr>
        <w:t>S</w:t>
      </w:r>
    </w:p>
    <w:p w:rsidR="000E531E" w:rsidRDefault="00E217D6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The Luxembourg Grandfather’s Solution</w:t>
      </w:r>
    </w:p>
    <w:p w:rsidR="00E217D6" w:rsidRDefault="00E217D6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en-US"/>
        </w:rPr>
      </w:pPr>
    </w:p>
    <w:p w:rsidR="00420A96" w:rsidRPr="00E217D6" w:rsidRDefault="0015556E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en-US"/>
        </w:rPr>
      </w:pPr>
      <w:r w:rsidRPr="00E217D6">
        <w:rPr>
          <w:rFonts w:ascii="Book Antiqua" w:hAnsi="Book Antiqua"/>
          <w:b/>
          <w:i/>
          <w:sz w:val="28"/>
          <w:szCs w:val="28"/>
          <w:lang w:val="en-US"/>
        </w:rPr>
        <w:t>Preliminary comments</w:t>
      </w:r>
    </w:p>
    <w:p w:rsidR="000E777B" w:rsidRPr="0079133A" w:rsidRDefault="000E777B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>Since January</w:t>
      </w:r>
      <w:r w:rsid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 1</w:t>
      </w:r>
      <w:r w:rsidR="0079133A" w:rsidRPr="0079133A">
        <w:rPr>
          <w:rFonts w:ascii="Book Antiqua" w:hAnsi="Book Antiqua" w:cs="Arial"/>
          <w:spacing w:val="0"/>
          <w:sz w:val="28"/>
          <w:szCs w:val="28"/>
          <w:vertAlign w:val="superscript"/>
          <w:lang w:val="en-US"/>
        </w:rPr>
        <w:t>st</w:t>
      </w:r>
      <w:r w:rsid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, 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2008 Luxembourg has 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 xml:space="preserve">had 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>a very attractive measure for companies which grant or use intellectual rights.</w:t>
      </w:r>
    </w:p>
    <w:p w:rsidR="000E777B" w:rsidRPr="0079133A" w:rsidRDefault="000E777B" w:rsidP="000E777B">
      <w:pPr>
        <w:jc w:val="both"/>
        <w:rPr>
          <w:rFonts w:ascii="Book Antiqua" w:hAnsi="Book Antiqua" w:cs="Arial"/>
          <w:sz w:val="28"/>
          <w:szCs w:val="28"/>
          <w:lang w:val="en-US"/>
        </w:rPr>
      </w:pPr>
    </w:p>
    <w:p w:rsidR="000E777B" w:rsidRPr="0079133A" w:rsidRDefault="000E777B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Indeed, this law </w:t>
      </w:r>
      <w:r w:rsidR="005F32E1">
        <w:rPr>
          <w:rFonts w:ascii="Book Antiqua" w:hAnsi="Book Antiqua" w:cs="Arial"/>
          <w:spacing w:val="0"/>
          <w:sz w:val="28"/>
          <w:szCs w:val="28"/>
          <w:lang w:val="en-US"/>
        </w:rPr>
        <w:t>modified Art. 50 of the Luxembourg income tax law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>:</w:t>
      </w:r>
    </w:p>
    <w:p w:rsidR="006513A9" w:rsidRPr="0079133A" w:rsidRDefault="006513A9" w:rsidP="000E777B">
      <w:pPr>
        <w:jc w:val="both"/>
        <w:rPr>
          <w:rFonts w:ascii="Book Antiqua" w:hAnsi="Book Antiqua" w:cs="Arial"/>
          <w:sz w:val="28"/>
          <w:szCs w:val="28"/>
          <w:lang w:val="en-US"/>
        </w:rPr>
      </w:pPr>
    </w:p>
    <w:p w:rsidR="000E777B" w:rsidRPr="0079133A" w:rsidRDefault="006513A9" w:rsidP="006513A9">
      <w:pPr>
        <w:ind w:left="720" w:right="477"/>
        <w:jc w:val="both"/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</w:pP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“Income deriving from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the use or the concession of </w:t>
      </w:r>
      <w:r w:rsidR="00285847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copyrights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on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EDP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software, of patent</w:t>
      </w:r>
      <w:r w:rsidR="00285847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s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, trade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mark</w:t>
      </w:r>
      <w:r w:rsidR="00285847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s (including service marks) design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, </w:t>
      </w:r>
      <w:r w:rsidR="0015556E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website domain names, </w:t>
      </w:r>
      <w:r w:rsidR="00285847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patterns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or model</w:t>
      </w:r>
      <w:r w:rsidR="00285847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s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is tax exempt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up to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80% of the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net profit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.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Net profit should be considered as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the gross income decreased of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any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expenditure in direct economic relationship to this income, including annual depreciation 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or a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depreciation</w:t>
      </w:r>
      <w:r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 xml:space="preserve"> for a decrease in value</w:t>
      </w:r>
      <w:r w:rsidR="000E777B" w:rsidRPr="0079133A">
        <w:rPr>
          <w:rFonts w:ascii="Book Antiqua" w:hAnsi="Book Antiqua" w:cs="Arial"/>
          <w:b/>
          <w:bCs/>
          <w:i/>
          <w:iCs/>
          <w:spacing w:val="0"/>
          <w:sz w:val="28"/>
          <w:szCs w:val="28"/>
          <w:lang w:val="en-US"/>
        </w:rPr>
        <w:t>. »</w:t>
      </w:r>
    </w:p>
    <w:p w:rsidR="006513A9" w:rsidRPr="0079133A" w:rsidRDefault="006513A9" w:rsidP="000E777B">
      <w:pPr>
        <w:ind w:left="990" w:hanging="450"/>
        <w:jc w:val="both"/>
        <w:rPr>
          <w:rFonts w:ascii="Book Antiqua" w:hAnsi="Book Antiqua" w:cs="Arial"/>
          <w:sz w:val="28"/>
          <w:szCs w:val="28"/>
          <w:lang w:val="en-US"/>
        </w:rPr>
      </w:pPr>
    </w:p>
    <w:p w:rsidR="006513A9" w:rsidRPr="0079133A" w:rsidRDefault="006513A9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The </w:t>
      </w:r>
      <w:r w:rsidR="006A4A75">
        <w:rPr>
          <w:rFonts w:ascii="Book Antiqua" w:hAnsi="Book Antiqua" w:cs="Arial"/>
          <w:spacing w:val="0"/>
          <w:sz w:val="28"/>
          <w:szCs w:val="28"/>
          <w:lang w:val="en-US"/>
        </w:rPr>
        <w:t xml:space="preserve">tax 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exemption is also available for the capital gain generated by these rights (a recapture rule will be </w:t>
      </w:r>
      <w:r w:rsidR="0015556E">
        <w:rPr>
          <w:rFonts w:ascii="Book Antiqua" w:hAnsi="Book Antiqua" w:cs="Arial"/>
          <w:spacing w:val="0"/>
          <w:sz w:val="28"/>
          <w:szCs w:val="28"/>
          <w:lang w:val="en-US"/>
        </w:rPr>
        <w:t>applied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>)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>.</w:t>
      </w:r>
    </w:p>
    <w:p w:rsidR="006513A9" w:rsidRPr="0079133A" w:rsidRDefault="006513A9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0E777B" w:rsidRDefault="0079133A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The applicable </w:t>
      </w:r>
      <w:r w:rsidR="005F32E1">
        <w:rPr>
          <w:rFonts w:ascii="Book Antiqua" w:hAnsi="Book Antiqua" w:cs="Arial"/>
          <w:spacing w:val="0"/>
          <w:sz w:val="28"/>
          <w:szCs w:val="28"/>
          <w:lang w:val="en-US"/>
        </w:rPr>
        <w:t xml:space="preserve">effective 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>t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ax 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rate </w:t>
      </w:r>
      <w:r w:rsidR="005F32E1">
        <w:rPr>
          <w:rFonts w:ascii="Book Antiqua" w:hAnsi="Book Antiqua" w:cs="Arial"/>
          <w:spacing w:val="0"/>
          <w:sz w:val="28"/>
          <w:szCs w:val="28"/>
          <w:lang w:val="en-US"/>
        </w:rPr>
        <w:t xml:space="preserve">on generated 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income </w:t>
      </w:r>
      <w:r w:rsidR="005F32E1">
        <w:rPr>
          <w:rFonts w:ascii="Book Antiqua" w:hAnsi="Book Antiqua" w:cs="Arial"/>
          <w:spacing w:val="0"/>
          <w:sz w:val="28"/>
          <w:szCs w:val="28"/>
          <w:lang w:val="en-US"/>
        </w:rPr>
        <w:t xml:space="preserve">which may fall under the partial exemption 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will 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>thus be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 equivalent to 5,</w:t>
      </w:r>
      <w:r w:rsidR="00C86CF3">
        <w:rPr>
          <w:rFonts w:ascii="Book Antiqua" w:hAnsi="Book Antiqua" w:cs="Arial"/>
          <w:spacing w:val="0"/>
          <w:sz w:val="28"/>
          <w:szCs w:val="28"/>
          <w:lang w:val="en-US"/>
        </w:rPr>
        <w:t>84</w:t>
      </w:r>
      <w:r w:rsidR="000E777B" w:rsidRPr="0079133A">
        <w:rPr>
          <w:rFonts w:ascii="Book Antiqua" w:hAnsi="Book Antiqua" w:cs="Arial"/>
          <w:spacing w:val="0"/>
          <w:sz w:val="28"/>
          <w:szCs w:val="28"/>
          <w:lang w:val="en-US"/>
        </w:rPr>
        <w:t>%.</w:t>
      </w:r>
    </w:p>
    <w:p w:rsidR="0015556E" w:rsidRDefault="0015556E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6B6A82" w:rsidRPr="0079133A" w:rsidRDefault="006B6A82" w:rsidP="006B6A82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>Without losing the partial exemption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>,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 t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he owner of the IP can decide to 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>commercialize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 xml:space="preserve"> himself the rights or to market them either by 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>selling the IP</w:t>
      </w:r>
      <w:r w:rsidRPr="0079133A">
        <w:rPr>
          <w:rFonts w:ascii="Book Antiqua" w:hAnsi="Book Antiqua" w:cs="Arial"/>
          <w:spacing w:val="0"/>
          <w:sz w:val="28"/>
          <w:szCs w:val="28"/>
          <w:lang w:val="en-US"/>
        </w:rPr>
        <w:t>, or by transferring the rights.</w:t>
      </w:r>
    </w:p>
    <w:p w:rsidR="006B6A82" w:rsidRDefault="006B6A82" w:rsidP="006B6A82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6B6A82" w:rsidRPr="0079133A" w:rsidRDefault="006B6A82" w:rsidP="006B6A82">
      <w:pPr>
        <w:jc w:val="right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>./.</w:t>
      </w:r>
    </w:p>
    <w:p w:rsid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br w:type="page"/>
      </w:r>
    </w:p>
    <w:p w:rsidR="009C41E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15556E" w:rsidRDefault="0015556E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  <w:r w:rsidRPr="00E217D6"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  <w:t>Changes to be expected</w:t>
      </w:r>
    </w:p>
    <w:p w:rsidR="00E217D6" w:rsidRPr="00E217D6" w:rsidRDefault="00E217D6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</w:p>
    <w:p w:rsidR="00564EE5" w:rsidRDefault="0015556E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In accordance with the OECD task force concerning the “Base Erosion and Profit Shifting” (BEPS), </w:t>
      </w:r>
      <w:r w:rsidR="00564EE5">
        <w:rPr>
          <w:rFonts w:ascii="Book Antiqua" w:hAnsi="Book Antiqua" w:cs="Arial"/>
          <w:spacing w:val="0"/>
          <w:sz w:val="28"/>
          <w:szCs w:val="28"/>
          <w:lang w:val="en-US"/>
        </w:rPr>
        <w:t xml:space="preserve">the </w:t>
      </w: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Luxembourg </w:t>
      </w:r>
      <w:r w:rsidR="00564EE5">
        <w:rPr>
          <w:rFonts w:ascii="Book Antiqua" w:hAnsi="Book Antiqua" w:cs="Arial"/>
          <w:spacing w:val="0"/>
          <w:sz w:val="28"/>
          <w:szCs w:val="28"/>
          <w:lang w:val="en-US"/>
        </w:rPr>
        <w:t>Intellectual Property regime will be repealed as from July 1</w:t>
      </w:r>
      <w:r w:rsidR="00564EE5" w:rsidRPr="00564EE5">
        <w:rPr>
          <w:rFonts w:ascii="Book Antiqua" w:hAnsi="Book Antiqua" w:cs="Arial"/>
          <w:spacing w:val="0"/>
          <w:sz w:val="28"/>
          <w:szCs w:val="28"/>
          <w:vertAlign w:val="superscript"/>
          <w:lang w:val="en-US"/>
        </w:rPr>
        <w:t>st</w:t>
      </w:r>
      <w:r w:rsidR="00564EE5">
        <w:rPr>
          <w:rFonts w:ascii="Book Antiqua" w:hAnsi="Book Antiqua" w:cs="Arial"/>
          <w:spacing w:val="0"/>
          <w:sz w:val="28"/>
          <w:szCs w:val="28"/>
          <w:lang w:val="en-US"/>
        </w:rPr>
        <w:t>, 2016.</w:t>
      </w:r>
    </w:p>
    <w:p w:rsidR="00564EE5" w:rsidRDefault="00564EE5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9C41E8" w:rsidRPr="0079133A" w:rsidRDefault="009C41E8" w:rsidP="000E777B">
      <w:pPr>
        <w:jc w:val="both"/>
        <w:rPr>
          <w:rFonts w:ascii="Book Antiqua" w:hAnsi="Book Antiqua" w:cs="Arial"/>
          <w:sz w:val="28"/>
          <w:szCs w:val="28"/>
          <w:lang w:val="en-US"/>
        </w:rPr>
      </w:pPr>
    </w:p>
    <w:p w:rsidR="0015556E" w:rsidRPr="00E217D6" w:rsidRDefault="0015556E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  <w:r w:rsidRPr="00E217D6"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  <w:t>Luxembourg and the Grandfather’s Solution</w:t>
      </w:r>
    </w:p>
    <w:p w:rsidR="00E217D6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702FD7" w:rsidRDefault="0015556E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Luxembourg has decided to apply 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>its IP tax system up to June</w:t>
      </w:r>
      <w:r w:rsidR="00702FD7">
        <w:rPr>
          <w:rFonts w:ascii="Book Antiqua" w:hAnsi="Book Antiqua" w:cs="Arial"/>
          <w:spacing w:val="0"/>
          <w:sz w:val="28"/>
          <w:szCs w:val="28"/>
          <w:lang w:val="en-US"/>
        </w:rPr>
        <w:t xml:space="preserve"> 2021 and thus to 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 xml:space="preserve">completely </w:t>
      </w:r>
      <w:r w:rsidR="00702FD7">
        <w:rPr>
          <w:rFonts w:ascii="Book Antiqua" w:hAnsi="Book Antiqua" w:cs="Arial"/>
          <w:spacing w:val="0"/>
          <w:sz w:val="28"/>
          <w:szCs w:val="28"/>
          <w:lang w:val="en-US"/>
        </w:rPr>
        <w:t>use the 5-years transit period granted by the OECD, that is to say that companies that ha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>ve</w:t>
      </w:r>
      <w:r w:rsidR="00702FD7">
        <w:rPr>
          <w:rFonts w:ascii="Book Antiqua" w:hAnsi="Book Antiqua" w:cs="Arial"/>
          <w:spacing w:val="0"/>
          <w:sz w:val="28"/>
          <w:szCs w:val="28"/>
          <w:lang w:val="en-US"/>
        </w:rPr>
        <w:t xml:space="preserve"> acquired (or will acquire) the IP before July 2016 will fall under the favorable tax </w:t>
      </w:r>
      <w:r w:rsidR="006B6A82">
        <w:rPr>
          <w:rFonts w:ascii="Book Antiqua" w:hAnsi="Book Antiqua" w:cs="Arial"/>
          <w:spacing w:val="0"/>
          <w:sz w:val="28"/>
          <w:szCs w:val="28"/>
          <w:lang w:val="en-US"/>
        </w:rPr>
        <w:t>regime</w:t>
      </w:r>
      <w:r w:rsidR="00702FD7">
        <w:rPr>
          <w:rFonts w:ascii="Book Antiqua" w:hAnsi="Book Antiqua" w:cs="Arial"/>
          <w:spacing w:val="0"/>
          <w:sz w:val="28"/>
          <w:szCs w:val="28"/>
          <w:lang w:val="en-US"/>
        </w:rPr>
        <w:t xml:space="preserve"> up to Ju</w:t>
      </w:r>
      <w:r w:rsidR="009770C7">
        <w:rPr>
          <w:rFonts w:ascii="Book Antiqua" w:hAnsi="Book Antiqua" w:cs="Arial"/>
          <w:spacing w:val="0"/>
          <w:sz w:val="28"/>
          <w:szCs w:val="28"/>
          <w:lang w:val="en-US"/>
        </w:rPr>
        <w:t>ne</w:t>
      </w:r>
      <w:r w:rsidR="00702FD7">
        <w:rPr>
          <w:rFonts w:ascii="Book Antiqua" w:hAnsi="Book Antiqua" w:cs="Arial"/>
          <w:spacing w:val="0"/>
          <w:sz w:val="28"/>
          <w:szCs w:val="28"/>
          <w:lang w:val="en-US"/>
        </w:rPr>
        <w:t xml:space="preserve"> 2021.</w:t>
      </w:r>
    </w:p>
    <w:p w:rsidR="00702FD7" w:rsidRDefault="00702FD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E217D6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702FD7" w:rsidRPr="00E217D6" w:rsidRDefault="00702FD7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</w:pPr>
      <w:r w:rsidRPr="00E217D6">
        <w:rPr>
          <w:rFonts w:ascii="Book Antiqua" w:hAnsi="Book Antiqua" w:cs="Arial"/>
          <w:b/>
          <w:i/>
          <w:spacing w:val="0"/>
          <w:sz w:val="28"/>
          <w:szCs w:val="28"/>
          <w:lang w:val="en-US"/>
        </w:rPr>
        <w:t>Conclusion</w:t>
      </w:r>
    </w:p>
    <w:p w:rsidR="00E217D6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E217D6" w:rsidRDefault="00702FD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  <w:r>
        <w:rPr>
          <w:rFonts w:ascii="Book Antiqua" w:hAnsi="Book Antiqua" w:cs="Arial"/>
          <w:spacing w:val="0"/>
          <w:sz w:val="28"/>
          <w:szCs w:val="28"/>
          <w:lang w:val="en-US"/>
        </w:rPr>
        <w:t xml:space="preserve">Groups that are interested in the IP business should </w:t>
      </w:r>
      <w:r w:rsidR="00E217D6">
        <w:rPr>
          <w:rFonts w:ascii="Book Antiqua" w:hAnsi="Book Antiqua" w:cs="Arial"/>
          <w:spacing w:val="0"/>
          <w:sz w:val="28"/>
          <w:szCs w:val="28"/>
          <w:lang w:val="en-US"/>
        </w:rPr>
        <w:t xml:space="preserve">set up such a structure before July 2016. The SG Group will </w:t>
      </w:r>
      <w:r w:rsidR="00951731">
        <w:rPr>
          <w:rFonts w:ascii="Book Antiqua" w:hAnsi="Book Antiqua" w:cs="Arial"/>
          <w:spacing w:val="0"/>
          <w:sz w:val="28"/>
          <w:szCs w:val="28"/>
          <w:lang w:val="en-US"/>
        </w:rPr>
        <w:t>help through</w:t>
      </w:r>
      <w:r w:rsidR="00E217D6">
        <w:rPr>
          <w:rFonts w:ascii="Book Antiqua" w:hAnsi="Book Antiqua" w:cs="Arial"/>
          <w:spacing w:val="0"/>
          <w:sz w:val="28"/>
          <w:szCs w:val="28"/>
          <w:lang w:val="en-US"/>
        </w:rPr>
        <w:t xml:space="preserve"> professional advice if needed and will provide assistance in all legal and fiscal formalities.</w:t>
      </w:r>
    </w:p>
    <w:p w:rsidR="00E217D6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6B6A82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6B6A82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en-US"/>
        </w:rPr>
      </w:pPr>
    </w:p>
    <w:p w:rsidR="009C41E8" w:rsidRPr="009C41E8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en-US"/>
        </w:rPr>
      </w:pPr>
      <w:r w:rsidRPr="009C41E8">
        <w:rPr>
          <w:rFonts w:ascii="Times New Roman" w:hAnsi="Times New Roman"/>
          <w:color w:val="003F77"/>
          <w:sz w:val="24"/>
          <w:szCs w:val="24"/>
          <w:lang w:val="en-US"/>
        </w:rPr>
        <w:t>For further information concerning this newsletter, please contact</w:t>
      </w:r>
    </w:p>
    <w:p w:rsidR="009C41E8" w:rsidRDefault="009C41E8" w:rsidP="009C41E8">
      <w:pPr>
        <w:jc w:val="center"/>
        <w:rPr>
          <w:rFonts w:ascii="Times New Roman" w:hAnsi="Times New Roman"/>
          <w:b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b/>
          <w:color w:val="003F77"/>
          <w:sz w:val="24"/>
          <w:szCs w:val="24"/>
          <w:lang w:val="fr-LU"/>
        </w:rPr>
        <w:t>SG Group</w:t>
      </w:r>
    </w:p>
    <w:p w:rsidR="009C41E8" w:rsidRPr="0088359D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color w:val="003F77"/>
          <w:sz w:val="24"/>
          <w:szCs w:val="24"/>
          <w:lang w:val="fr-LU"/>
        </w:rPr>
        <w:t>231, Val des Bons-Malades</w:t>
      </w:r>
    </w:p>
    <w:p w:rsidR="009C41E8" w:rsidRPr="009C41E8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en-US"/>
        </w:rPr>
      </w:pPr>
      <w:r w:rsidRPr="009C41E8">
        <w:rPr>
          <w:rFonts w:ascii="Times New Roman" w:hAnsi="Times New Roman"/>
          <w:color w:val="003F77"/>
          <w:sz w:val="24"/>
          <w:szCs w:val="24"/>
          <w:lang w:val="en-US"/>
        </w:rPr>
        <w:t>L-2121 Luxembourg</w:t>
      </w:r>
    </w:p>
    <w:p w:rsidR="009C41E8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en-GB"/>
        </w:rPr>
      </w:pPr>
      <w:r>
        <w:rPr>
          <w:rFonts w:ascii="Times New Roman" w:hAnsi="Times New Roman"/>
          <w:color w:val="003F77"/>
          <w:sz w:val="24"/>
          <w:szCs w:val="24"/>
          <w:lang w:val="en-GB"/>
        </w:rPr>
        <w:t>Telephone (352) 43 89 89 1</w:t>
      </w:r>
    </w:p>
    <w:p w:rsidR="009C41E8" w:rsidRDefault="009C41E8" w:rsidP="009C41E8">
      <w:pPr>
        <w:jc w:val="center"/>
        <w:rPr>
          <w:rFonts w:ascii="Times New Roman" w:hAnsi="Times New Roman"/>
          <w:color w:val="003F77"/>
          <w:lang w:val="es-ES"/>
        </w:rPr>
      </w:pPr>
      <w:r>
        <w:rPr>
          <w:rFonts w:ascii="Times New Roman" w:hAnsi="Times New Roman"/>
          <w:color w:val="003F77"/>
          <w:sz w:val="24"/>
          <w:szCs w:val="24"/>
          <w:lang w:val="es-ES"/>
        </w:rPr>
        <w:t>Marco RIES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es-ES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es-ES"/>
        </w:rPr>
        <w:t>(</w:t>
      </w:r>
      <w:hyperlink r:id="rId9" w:history="1">
        <w:r w:rsidRPr="00AE3E16">
          <w:rPr>
            <w:rStyle w:val="Lienhypertexte"/>
            <w:color w:val="548DD4" w:themeColor="text2" w:themeTint="99"/>
            <w:lang w:val="es-ES"/>
          </w:rPr>
          <w:t>m.ries@sgluxembourg.eu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es-ES"/>
        </w:rPr>
        <w:t>)</w:t>
      </w:r>
    </w:p>
    <w:p w:rsidR="009C41E8" w:rsidRPr="00AE3E16" w:rsidRDefault="009C41E8" w:rsidP="009C41E8">
      <w:pPr>
        <w:jc w:val="center"/>
        <w:rPr>
          <w:rFonts w:asciiTheme="majorHAnsi" w:hAnsiTheme="majorHAnsi" w:cs="Arial"/>
          <w:noProof/>
          <w:lang w:val="de-DE" w:eastAsia="fr-LU"/>
        </w:rPr>
      </w:pPr>
      <w:r w:rsidRPr="00F450D0">
        <w:rPr>
          <w:rFonts w:ascii="Times New Roman" w:hAnsi="Times New Roman"/>
          <w:color w:val="003F77"/>
          <w:sz w:val="24"/>
          <w:szCs w:val="24"/>
          <w:lang w:val="de-DE"/>
        </w:rPr>
        <w:t>Marc SCHMIT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de-DE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de-DE"/>
        </w:rPr>
        <w:t>(</w:t>
      </w:r>
      <w:hyperlink r:id="rId10" w:history="1">
        <w:r w:rsidRPr="00AE3E16">
          <w:rPr>
            <w:rStyle w:val="Lienhypertexte"/>
            <w:color w:val="548DD4" w:themeColor="text2" w:themeTint="99"/>
            <w:lang w:val="de-DE"/>
          </w:rPr>
          <w:t>m.schmit@sgluxembourg.eu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de-DE"/>
        </w:rPr>
        <w:t>)</w:t>
      </w:r>
    </w:p>
    <w:p w:rsidR="009C41E8" w:rsidRP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sectPr w:rsidR="009C41E8" w:rsidRPr="009C41E8" w:rsidSect="00E43508">
      <w:footerReference w:type="default" r:id="rId11"/>
      <w:footerReference w:type="first" r:id="rId12"/>
      <w:footnotePr>
        <w:numRestart w:val="eachPage"/>
      </w:footnotePr>
      <w:pgSz w:w="11907" w:h="16840"/>
      <w:pgMar w:top="432" w:right="1800" w:bottom="1440" w:left="1800" w:header="720" w:footer="720" w:gutter="0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7" w:rsidRDefault="00225717">
      <w:r>
        <w:separator/>
      </w:r>
    </w:p>
  </w:endnote>
  <w:endnote w:type="continuationSeparator" w:id="0">
    <w:p w:rsidR="00225717" w:rsidRDefault="0022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9E4FB7" w:rsidP="00E341EA">
    <w:pPr>
      <w:pStyle w:val="Pieddepage"/>
    </w:pPr>
    <w:r>
      <w:rPr>
        <w:rStyle w:val="Numrodepage"/>
      </w:rPr>
      <w:fldChar w:fldCharType="begin"/>
    </w:r>
    <w:r w:rsidR="0079133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C4E4E">
      <w:rPr>
        <w:rStyle w:val="Numrodepage"/>
        <w:noProof/>
      </w:rPr>
      <w:t>- 1 -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887F8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9133A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7" w:rsidRDefault="00225717">
      <w:r>
        <w:separator/>
      </w:r>
    </w:p>
  </w:footnote>
  <w:footnote w:type="continuationSeparator" w:id="0">
    <w:p w:rsidR="00225717" w:rsidRDefault="0022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30D5B"/>
    <w:multiLevelType w:val="hybridMultilevel"/>
    <w:tmpl w:val="D7CAE35A"/>
    <w:lvl w:ilvl="0" w:tplc="CC78A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87BCF"/>
    <w:multiLevelType w:val="hybridMultilevel"/>
    <w:tmpl w:val="25B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332C6"/>
    <w:multiLevelType w:val="hybridMultilevel"/>
    <w:tmpl w:val="3E10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6264D"/>
    <w:multiLevelType w:val="hybridMultilevel"/>
    <w:tmpl w:val="1472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21614"/>
    <w:multiLevelType w:val="hybridMultilevel"/>
    <w:tmpl w:val="886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2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4863E9"/>
    <w:multiLevelType w:val="hybridMultilevel"/>
    <w:tmpl w:val="68087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40BE7"/>
    <w:multiLevelType w:val="hybridMultilevel"/>
    <w:tmpl w:val="99A2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017E3"/>
    <w:multiLevelType w:val="hybridMultilevel"/>
    <w:tmpl w:val="1F52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578A1"/>
    <w:multiLevelType w:val="hybridMultilevel"/>
    <w:tmpl w:val="F0E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1A9"/>
    <w:multiLevelType w:val="hybridMultilevel"/>
    <w:tmpl w:val="45D8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A425E"/>
    <w:multiLevelType w:val="hybridMultilevel"/>
    <w:tmpl w:val="87E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11E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427050"/>
    <w:multiLevelType w:val="hybridMultilevel"/>
    <w:tmpl w:val="1E9A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54A56"/>
    <w:multiLevelType w:val="hybridMultilevel"/>
    <w:tmpl w:val="294EF656"/>
    <w:lvl w:ilvl="0" w:tplc="7D8AB3E6">
      <w:start w:val="6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9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8"/>
    <w:rsid w:val="00015946"/>
    <w:rsid w:val="00041A23"/>
    <w:rsid w:val="00051DB6"/>
    <w:rsid w:val="000650D6"/>
    <w:rsid w:val="00073657"/>
    <w:rsid w:val="000879E8"/>
    <w:rsid w:val="00095FD5"/>
    <w:rsid w:val="000B3338"/>
    <w:rsid w:val="000B49A0"/>
    <w:rsid w:val="000C546C"/>
    <w:rsid w:val="000E531E"/>
    <w:rsid w:val="000E777B"/>
    <w:rsid w:val="00100F7D"/>
    <w:rsid w:val="00122F19"/>
    <w:rsid w:val="0015556E"/>
    <w:rsid w:val="00173CF9"/>
    <w:rsid w:val="00197FCB"/>
    <w:rsid w:val="001B5F65"/>
    <w:rsid w:val="001C27F9"/>
    <w:rsid w:val="001D4572"/>
    <w:rsid w:val="001F659D"/>
    <w:rsid w:val="001F7D72"/>
    <w:rsid w:val="00225717"/>
    <w:rsid w:val="00234D4C"/>
    <w:rsid w:val="00257226"/>
    <w:rsid w:val="00284600"/>
    <w:rsid w:val="00285847"/>
    <w:rsid w:val="00290BF2"/>
    <w:rsid w:val="002A5D0C"/>
    <w:rsid w:val="002A7879"/>
    <w:rsid w:val="002B0853"/>
    <w:rsid w:val="002B2379"/>
    <w:rsid w:val="002C2D8D"/>
    <w:rsid w:val="002E5785"/>
    <w:rsid w:val="00316F09"/>
    <w:rsid w:val="003443FF"/>
    <w:rsid w:val="00346DF1"/>
    <w:rsid w:val="00350C2A"/>
    <w:rsid w:val="003720C5"/>
    <w:rsid w:val="003A1779"/>
    <w:rsid w:val="003A69CC"/>
    <w:rsid w:val="003B7CC0"/>
    <w:rsid w:val="004176CA"/>
    <w:rsid w:val="00420A96"/>
    <w:rsid w:val="00425CF6"/>
    <w:rsid w:val="00446A9F"/>
    <w:rsid w:val="00487B83"/>
    <w:rsid w:val="004A0929"/>
    <w:rsid w:val="004C6EA5"/>
    <w:rsid w:val="004E6C65"/>
    <w:rsid w:val="00505F48"/>
    <w:rsid w:val="00511E7C"/>
    <w:rsid w:val="00564EE5"/>
    <w:rsid w:val="0058323D"/>
    <w:rsid w:val="005F32E1"/>
    <w:rsid w:val="00646AC5"/>
    <w:rsid w:val="006513A9"/>
    <w:rsid w:val="0069768F"/>
    <w:rsid w:val="006A4A75"/>
    <w:rsid w:val="006A5269"/>
    <w:rsid w:val="006B5D7D"/>
    <w:rsid w:val="006B6A82"/>
    <w:rsid w:val="006C2948"/>
    <w:rsid w:val="006F5390"/>
    <w:rsid w:val="00702FD7"/>
    <w:rsid w:val="00723C29"/>
    <w:rsid w:val="007367E3"/>
    <w:rsid w:val="0079133A"/>
    <w:rsid w:val="007B6785"/>
    <w:rsid w:val="007C4D0F"/>
    <w:rsid w:val="007F3EF6"/>
    <w:rsid w:val="008054E4"/>
    <w:rsid w:val="0081026F"/>
    <w:rsid w:val="008147F8"/>
    <w:rsid w:val="008359E8"/>
    <w:rsid w:val="00850479"/>
    <w:rsid w:val="00860291"/>
    <w:rsid w:val="00887F84"/>
    <w:rsid w:val="0089755B"/>
    <w:rsid w:val="008B33A9"/>
    <w:rsid w:val="008C2F4B"/>
    <w:rsid w:val="008D5AE6"/>
    <w:rsid w:val="008F1610"/>
    <w:rsid w:val="008F6498"/>
    <w:rsid w:val="00943E11"/>
    <w:rsid w:val="00944562"/>
    <w:rsid w:val="009507BB"/>
    <w:rsid w:val="00951731"/>
    <w:rsid w:val="009770C7"/>
    <w:rsid w:val="00993317"/>
    <w:rsid w:val="009C41E8"/>
    <w:rsid w:val="009C508D"/>
    <w:rsid w:val="009E4FB7"/>
    <w:rsid w:val="00A058C4"/>
    <w:rsid w:val="00A066B2"/>
    <w:rsid w:val="00A113AB"/>
    <w:rsid w:val="00A334B6"/>
    <w:rsid w:val="00A90D00"/>
    <w:rsid w:val="00B22C13"/>
    <w:rsid w:val="00B32BC7"/>
    <w:rsid w:val="00BA15A4"/>
    <w:rsid w:val="00BF01A2"/>
    <w:rsid w:val="00C22F99"/>
    <w:rsid w:val="00C30C5D"/>
    <w:rsid w:val="00C415B5"/>
    <w:rsid w:val="00C57540"/>
    <w:rsid w:val="00C707F3"/>
    <w:rsid w:val="00C86CF3"/>
    <w:rsid w:val="00C91D12"/>
    <w:rsid w:val="00CB5D0F"/>
    <w:rsid w:val="00CC44F3"/>
    <w:rsid w:val="00CC7039"/>
    <w:rsid w:val="00CE326E"/>
    <w:rsid w:val="00D12CF1"/>
    <w:rsid w:val="00D25D1F"/>
    <w:rsid w:val="00D46590"/>
    <w:rsid w:val="00D95666"/>
    <w:rsid w:val="00D973F8"/>
    <w:rsid w:val="00DB7FF4"/>
    <w:rsid w:val="00DE42BB"/>
    <w:rsid w:val="00E145B3"/>
    <w:rsid w:val="00E217D6"/>
    <w:rsid w:val="00E341EA"/>
    <w:rsid w:val="00E43508"/>
    <w:rsid w:val="00E51249"/>
    <w:rsid w:val="00E70C4B"/>
    <w:rsid w:val="00E908FA"/>
    <w:rsid w:val="00EA5063"/>
    <w:rsid w:val="00EA693D"/>
    <w:rsid w:val="00EC4E4E"/>
    <w:rsid w:val="00EC6C2F"/>
    <w:rsid w:val="00EE159C"/>
    <w:rsid w:val="00EE168B"/>
    <w:rsid w:val="00F10C31"/>
    <w:rsid w:val="00F1203D"/>
    <w:rsid w:val="00F2659B"/>
    <w:rsid w:val="00F44E13"/>
    <w:rsid w:val="00FA23E4"/>
    <w:rsid w:val="00FA3239"/>
    <w:rsid w:val="00FA4CF7"/>
    <w:rsid w:val="00FB452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schmit@sgluxembour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ries@sgluxembourg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F5C2-86CC-4831-AD7C-BF6A5E72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creator>Marco RIES</dc:creator>
  <cp:lastModifiedBy>Catia Lopes Melo</cp:lastModifiedBy>
  <cp:revision>2</cp:revision>
  <cp:lastPrinted>2016-01-07T13:23:00Z</cp:lastPrinted>
  <dcterms:created xsi:type="dcterms:W3CDTF">2016-01-14T08:05:00Z</dcterms:created>
  <dcterms:modified xsi:type="dcterms:W3CDTF">2016-01-14T08:05:00Z</dcterms:modified>
</cp:coreProperties>
</file>